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BC5" w:rsidRPr="00A25BC5" w:rsidRDefault="00A25BC5" w:rsidP="00A25BC5">
      <w:pPr>
        <w:shd w:val="clear" w:color="auto" w:fill="FFFFFF"/>
        <w:spacing w:before="100" w:beforeAutospacing="1" w:after="100" w:afterAutospacing="1" w:line="720" w:lineRule="atLeast"/>
        <w:outlineLvl w:val="0"/>
        <w:rPr>
          <w:rFonts w:eastAsia="Times New Roman" w:cstheme="minorHAnsi"/>
          <w:b/>
          <w:color w:val="000000"/>
          <w:kern w:val="36"/>
          <w:sz w:val="24"/>
          <w:szCs w:val="24"/>
          <w:lang w:eastAsia="fr-BE"/>
        </w:rPr>
      </w:pPr>
      <w:r w:rsidRPr="00A25BC5">
        <w:rPr>
          <w:rFonts w:eastAsia="Times New Roman" w:cstheme="minorHAnsi"/>
          <w:b/>
          <w:color w:val="000000"/>
          <w:kern w:val="36"/>
          <w:sz w:val="24"/>
          <w:szCs w:val="24"/>
          <w:lang w:eastAsia="fr-BE"/>
        </w:rPr>
        <w:t>Cobalt, l’état des lieux à fin 2018</w:t>
      </w:r>
    </w:p>
    <w:p w:rsidR="00194E8D" w:rsidRDefault="00A25BC5" w:rsidP="00194E8D">
      <w:pPr>
        <w:shd w:val="clear" w:color="auto" w:fill="FFFFFF"/>
        <w:spacing w:after="0" w:line="240" w:lineRule="auto"/>
        <w:outlineLvl w:val="1"/>
        <w:rPr>
          <w:rFonts w:eastAsia="Times New Roman" w:cstheme="minorHAnsi"/>
          <w:color w:val="000000"/>
          <w:sz w:val="24"/>
          <w:szCs w:val="24"/>
          <w:lang w:eastAsia="fr-BE"/>
        </w:rPr>
      </w:pPr>
      <w:r w:rsidRPr="00A25BC5">
        <w:rPr>
          <w:rFonts w:eastAsia="Times New Roman" w:cstheme="minorHAnsi"/>
          <w:color w:val="000000"/>
          <w:sz w:val="24"/>
          <w:szCs w:val="24"/>
          <w:lang w:eastAsia="fr-BE"/>
        </w:rPr>
        <w:t xml:space="preserve">Entre 2012 et 2017, la demande mondiale de cobalt a augmenté de 30%. Une hausse largement portée par l’essor des batteries rechargeables et les espoirs de croissance du véhicule électrique. </w:t>
      </w:r>
    </w:p>
    <w:p w:rsidR="00194E8D" w:rsidRDefault="00194E8D" w:rsidP="00194E8D">
      <w:pPr>
        <w:shd w:val="clear" w:color="auto" w:fill="FFFFFF"/>
        <w:spacing w:after="0" w:line="240" w:lineRule="auto"/>
        <w:outlineLvl w:val="1"/>
        <w:rPr>
          <w:rFonts w:eastAsia="Times New Roman" w:cstheme="minorHAnsi"/>
          <w:color w:val="000000"/>
          <w:sz w:val="24"/>
          <w:szCs w:val="24"/>
          <w:lang w:eastAsia="fr-BE"/>
        </w:rPr>
      </w:pPr>
    </w:p>
    <w:p w:rsidR="00A25BC5" w:rsidRPr="00A25BC5" w:rsidRDefault="00A25BC5" w:rsidP="00194E8D">
      <w:pPr>
        <w:shd w:val="clear" w:color="auto" w:fill="FFFFFF"/>
        <w:spacing w:after="0" w:line="240" w:lineRule="auto"/>
        <w:outlineLvl w:val="1"/>
        <w:rPr>
          <w:rFonts w:eastAsia="Times New Roman" w:cstheme="minorHAnsi"/>
          <w:color w:val="000000"/>
          <w:sz w:val="24"/>
          <w:szCs w:val="24"/>
          <w:lang w:eastAsia="fr-BE"/>
        </w:rPr>
      </w:pPr>
      <w:r w:rsidRPr="00A25BC5">
        <w:rPr>
          <w:rFonts w:eastAsia="Times New Roman" w:cstheme="minorHAnsi"/>
          <w:color w:val="000000"/>
          <w:sz w:val="24"/>
          <w:szCs w:val="24"/>
          <w:lang w:eastAsia="fr-BE"/>
        </w:rPr>
        <w:t>L'Usine Nouvelle et le BRGM font le point sur ce métal au cours chahuté.</w:t>
      </w:r>
    </w:p>
    <w:p w:rsidR="00A25BC5" w:rsidRPr="00A25BC5" w:rsidRDefault="00A25BC5" w:rsidP="00194E8D">
      <w:pPr>
        <w:spacing w:after="0" w:line="240" w:lineRule="auto"/>
        <w:rPr>
          <w:rFonts w:eastAsia="Times New Roman" w:cstheme="minorHAnsi"/>
          <w:color w:val="000000"/>
          <w:sz w:val="24"/>
          <w:szCs w:val="24"/>
          <w:lang w:eastAsia="fr-BE"/>
        </w:rPr>
      </w:pPr>
      <w:r w:rsidRPr="00A25BC5">
        <w:rPr>
          <w:rFonts w:eastAsia="Times New Roman" w:cstheme="minorHAnsi"/>
          <w:sz w:val="24"/>
          <w:szCs w:val="24"/>
          <w:lang w:eastAsia="fr-BE"/>
        </w:rPr>
        <w:t>L'essor du véhicule électrique ne se fera pas sans impact fort sur la demande de cobal</w:t>
      </w:r>
      <w:r>
        <w:rPr>
          <w:rFonts w:eastAsia="Times New Roman" w:cstheme="minorHAnsi"/>
          <w:sz w:val="24"/>
          <w:szCs w:val="24"/>
          <w:lang w:eastAsia="fr-BE"/>
        </w:rPr>
        <w:t>t.</w:t>
      </w:r>
    </w:p>
    <w:p w:rsidR="00A25BC5" w:rsidRPr="00A25BC5" w:rsidRDefault="00A25BC5" w:rsidP="00A25BC5">
      <w:pPr>
        <w:shd w:val="clear" w:color="auto" w:fill="FFFFFF"/>
        <w:spacing w:before="100" w:beforeAutospacing="1" w:after="100" w:afterAutospacing="1" w:line="240" w:lineRule="auto"/>
        <w:rPr>
          <w:rFonts w:eastAsia="Times New Roman" w:cstheme="minorHAnsi"/>
          <w:color w:val="000000"/>
          <w:sz w:val="24"/>
          <w:szCs w:val="24"/>
          <w:lang w:eastAsia="fr-BE"/>
        </w:rPr>
      </w:pPr>
      <w:r w:rsidRPr="00A25BC5">
        <w:rPr>
          <w:rFonts w:eastAsia="Times New Roman" w:cstheme="minorHAnsi"/>
          <w:color w:val="000000"/>
          <w:sz w:val="24"/>
          <w:szCs w:val="24"/>
          <w:lang w:eastAsia="fr-BE"/>
        </w:rPr>
        <w:t>Le cobalt, métal gris aux multiples applications (batteries, superalliages, aimants permanents, carbures métalliques, catalyse…), est un marché de 8,8 milliards de dollars (contre 2,7 milliards en 2014). En 2017, l’industrie mondiale en a consommé 104 000 tonnes, un tiers de plus qu’en 2012.</w:t>
      </w:r>
    </w:p>
    <w:p w:rsidR="00A25BC5" w:rsidRPr="00A25BC5" w:rsidRDefault="00A25BC5" w:rsidP="00A25BC5">
      <w:pPr>
        <w:shd w:val="clear" w:color="auto" w:fill="FFFFFF"/>
        <w:spacing w:before="100" w:beforeAutospacing="1" w:after="100" w:afterAutospacing="1" w:line="240" w:lineRule="auto"/>
        <w:rPr>
          <w:rFonts w:eastAsia="Times New Roman" w:cstheme="minorHAnsi"/>
          <w:color w:val="000000"/>
          <w:sz w:val="24"/>
          <w:szCs w:val="24"/>
          <w:lang w:eastAsia="fr-BE"/>
        </w:rPr>
      </w:pPr>
      <w:r w:rsidRPr="00A25BC5">
        <w:rPr>
          <w:rFonts w:eastAsia="Times New Roman" w:cstheme="minorHAnsi"/>
          <w:color w:val="000000"/>
          <w:sz w:val="24"/>
          <w:szCs w:val="24"/>
          <w:lang w:eastAsia="fr-BE"/>
        </w:rPr>
        <w:t>Une part importante de cette croissance est due à l’utilisation du cobalt dans les cathodes de batteries lithium-ion, dont il augmente la densité d’énergie et la longévité. Malgré le développement d’autres technologies de batteries comme les LFP (Lithium Phosphate de Fer) de nombre de bus électriques ou les LMP (Lithium-</w:t>
      </w:r>
      <w:proofErr w:type="spellStart"/>
      <w:r w:rsidRPr="00A25BC5">
        <w:rPr>
          <w:rFonts w:eastAsia="Times New Roman" w:cstheme="minorHAnsi"/>
          <w:color w:val="000000"/>
          <w:sz w:val="24"/>
          <w:szCs w:val="24"/>
          <w:lang w:eastAsia="fr-BE"/>
        </w:rPr>
        <w:t>Metal</w:t>
      </w:r>
      <w:proofErr w:type="spellEnd"/>
      <w:r w:rsidRPr="00A25BC5">
        <w:rPr>
          <w:rFonts w:eastAsia="Times New Roman" w:cstheme="minorHAnsi"/>
          <w:color w:val="000000"/>
          <w:sz w:val="24"/>
          <w:szCs w:val="24"/>
          <w:lang w:eastAsia="fr-BE"/>
        </w:rPr>
        <w:t xml:space="preserve"> Polymère) du groupe Bolloré, la majorité des constructeurs automobiles considèrent encore les batteries Li-ion comme le meilleur compromis entre les performances, la légèreté, la fiabilité, la durée de vie, et le coût de fabrication pour leurs futurs véhicules électriques. </w:t>
      </w:r>
      <w:r w:rsidRPr="00A25BC5">
        <w:rPr>
          <w:rFonts w:eastAsia="Times New Roman" w:cstheme="minorHAnsi"/>
          <w:i/>
          <w:iCs/>
          <w:color w:val="000000"/>
          <w:sz w:val="24"/>
          <w:szCs w:val="24"/>
          <w:lang w:eastAsia="fr-BE"/>
        </w:rPr>
        <w:t>"Le constat est donc sans appel : le </w:t>
      </w:r>
      <w:hyperlink r:id="rId5" w:tgtFrame="_blank" w:history="1">
        <w:r w:rsidRPr="00A25BC5">
          <w:rPr>
            <w:rFonts w:eastAsia="Times New Roman" w:cstheme="minorHAnsi"/>
            <w:i/>
            <w:iCs/>
            <w:color w:val="000000"/>
            <w:sz w:val="24"/>
            <w:szCs w:val="24"/>
            <w:u w:val="single"/>
            <w:lang w:eastAsia="fr-BE"/>
          </w:rPr>
          <w:t>basculement vers un parc automobile à dominante électrique</w:t>
        </w:r>
      </w:hyperlink>
      <w:r w:rsidRPr="00A25BC5">
        <w:rPr>
          <w:rFonts w:eastAsia="Times New Roman" w:cstheme="minorHAnsi"/>
          <w:i/>
          <w:iCs/>
          <w:color w:val="000000"/>
          <w:sz w:val="24"/>
          <w:szCs w:val="24"/>
          <w:lang w:eastAsia="fr-BE"/>
        </w:rPr>
        <w:t> ne se fera pas sans une augmentation conséquente de la consommation mondiale de cobalt"</w:t>
      </w:r>
      <w:r w:rsidRPr="00A25BC5">
        <w:rPr>
          <w:rFonts w:eastAsia="Times New Roman" w:cstheme="minorHAnsi"/>
          <w:color w:val="000000"/>
          <w:sz w:val="24"/>
          <w:szCs w:val="24"/>
          <w:lang w:eastAsia="fr-BE"/>
        </w:rPr>
        <w:t>, affirme Gaétan Lefebvre, économiste des ressources minérales au Bureau de recherches géologiques et minières (BRGM) </w:t>
      </w:r>
      <w:hyperlink r:id="rId6" w:tgtFrame="_blank" w:tooltip="Accéder à l'article sur le site MineralInfo" w:history="1">
        <w:r w:rsidRPr="00A25BC5">
          <w:rPr>
            <w:rFonts w:eastAsia="Times New Roman" w:cstheme="minorHAnsi"/>
            <w:color w:val="000000"/>
            <w:sz w:val="24"/>
            <w:szCs w:val="24"/>
            <w:lang w:eastAsia="fr-BE"/>
          </w:rPr>
          <w:t>dans un article récent</w:t>
        </w:r>
      </w:hyperlink>
      <w:r w:rsidRPr="00A25BC5">
        <w:rPr>
          <w:rFonts w:eastAsia="Times New Roman" w:cstheme="minorHAnsi"/>
          <w:color w:val="000000"/>
          <w:sz w:val="24"/>
          <w:szCs w:val="24"/>
          <w:lang w:eastAsia="fr-BE"/>
        </w:rPr>
        <w:t>.</w:t>
      </w:r>
    </w:p>
    <w:p w:rsidR="00A25BC5" w:rsidRPr="00A25BC5" w:rsidRDefault="00A25BC5" w:rsidP="00A25BC5">
      <w:pPr>
        <w:shd w:val="clear" w:color="auto" w:fill="FFFFFF"/>
        <w:spacing w:before="100" w:beforeAutospacing="1" w:after="100" w:afterAutospacing="1" w:line="240" w:lineRule="auto"/>
        <w:rPr>
          <w:rFonts w:ascii="Arial" w:eastAsia="Times New Roman" w:hAnsi="Arial" w:cs="Arial"/>
          <w:color w:val="000000"/>
          <w:sz w:val="30"/>
          <w:szCs w:val="30"/>
          <w:lang w:eastAsia="fr-BE"/>
        </w:rPr>
      </w:pPr>
    </w:p>
    <w:p w:rsidR="00A7506D" w:rsidRDefault="00A7506D"/>
    <w:sectPr w:rsidR="00A7506D" w:rsidSect="00A750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847DB"/>
    <w:multiLevelType w:val="multilevel"/>
    <w:tmpl w:val="9474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5BC5"/>
    <w:rsid w:val="00194E8D"/>
    <w:rsid w:val="00286512"/>
    <w:rsid w:val="00362E8B"/>
    <w:rsid w:val="003C0D07"/>
    <w:rsid w:val="00A25BC5"/>
    <w:rsid w:val="00A7506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6D"/>
  </w:style>
  <w:style w:type="paragraph" w:styleId="Titre1">
    <w:name w:val="heading 1"/>
    <w:basedOn w:val="Normal"/>
    <w:link w:val="Titre1Car"/>
    <w:uiPriority w:val="9"/>
    <w:qFormat/>
    <w:rsid w:val="00A25B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A25BC5"/>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5BC5"/>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A25BC5"/>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A25BC5"/>
    <w:rPr>
      <w:color w:val="0000FF"/>
      <w:u w:val="single"/>
    </w:rPr>
  </w:style>
  <w:style w:type="character" w:customStyle="1" w:styleId="tagart">
    <w:name w:val="tagart"/>
    <w:basedOn w:val="Policepardfaut"/>
    <w:rsid w:val="00A25BC5"/>
  </w:style>
  <w:style w:type="paragraph" w:customStyle="1" w:styleId="datetime">
    <w:name w:val="datetime"/>
    <w:basedOn w:val="Normal"/>
    <w:rsid w:val="00A25BC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agtype3">
    <w:name w:val="tagtype3"/>
    <w:basedOn w:val="Policepardfaut"/>
    <w:rsid w:val="00A25BC5"/>
  </w:style>
  <w:style w:type="character" w:customStyle="1" w:styleId="copyrightimage">
    <w:name w:val="copyrightimage"/>
    <w:basedOn w:val="Policepardfaut"/>
    <w:rsid w:val="00A25BC5"/>
  </w:style>
  <w:style w:type="character" w:customStyle="1" w:styleId="txtsocialbar">
    <w:name w:val="txtsocialbar"/>
    <w:basedOn w:val="Policepardfaut"/>
    <w:rsid w:val="00A25BC5"/>
  </w:style>
  <w:style w:type="paragraph" w:styleId="NormalWeb">
    <w:name w:val="Normal (Web)"/>
    <w:basedOn w:val="Normal"/>
    <w:uiPriority w:val="99"/>
    <w:semiHidden/>
    <w:unhideWhenUsed/>
    <w:rsid w:val="00A25BC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A25BC5"/>
    <w:rPr>
      <w:i/>
      <w:iCs/>
    </w:rPr>
  </w:style>
  <w:style w:type="paragraph" w:styleId="Textedebulles">
    <w:name w:val="Balloon Text"/>
    <w:basedOn w:val="Normal"/>
    <w:link w:val="TextedebullesCar"/>
    <w:uiPriority w:val="99"/>
    <w:semiHidden/>
    <w:unhideWhenUsed/>
    <w:rsid w:val="00A25B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5B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759883">
      <w:bodyDiv w:val="1"/>
      <w:marLeft w:val="0"/>
      <w:marRight w:val="0"/>
      <w:marTop w:val="0"/>
      <w:marBottom w:val="0"/>
      <w:divBdr>
        <w:top w:val="none" w:sz="0" w:space="0" w:color="auto"/>
        <w:left w:val="none" w:sz="0" w:space="0" w:color="auto"/>
        <w:bottom w:val="none" w:sz="0" w:space="0" w:color="auto"/>
        <w:right w:val="none" w:sz="0" w:space="0" w:color="auto"/>
      </w:divBdr>
      <w:divsChild>
        <w:div w:id="1377699051">
          <w:marLeft w:val="0"/>
          <w:marRight w:val="0"/>
          <w:marTop w:val="600"/>
          <w:marBottom w:val="600"/>
          <w:divBdr>
            <w:top w:val="none" w:sz="0" w:space="0" w:color="auto"/>
            <w:left w:val="none" w:sz="0" w:space="0" w:color="auto"/>
            <w:bottom w:val="none" w:sz="0" w:space="0" w:color="auto"/>
            <w:right w:val="none" w:sz="0" w:space="0" w:color="auto"/>
          </w:divBdr>
          <w:divsChild>
            <w:div w:id="14650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ralinfo.fr/ecomine/structure-traditionnelle-marche-cobalt-bouleversee-besoins-mobilite-electrique" TargetMode="External"/><Relationship Id="rId5" Type="http://schemas.openxmlformats.org/officeDocument/2006/relationships/hyperlink" Target="https://www.usinenouvelle.com/article/pourquoi-la-reforme-du-code-minier-congolais-est-strategique-pour-le-vehicule-electrique.N64943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1660</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desk2</cp:lastModifiedBy>
  <cp:revision>3</cp:revision>
  <dcterms:created xsi:type="dcterms:W3CDTF">2019-01-14T07:13:00Z</dcterms:created>
  <dcterms:modified xsi:type="dcterms:W3CDTF">2019-01-14T07:13:00Z</dcterms:modified>
</cp:coreProperties>
</file>